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20" w:rsidRPr="00A949EB" w:rsidRDefault="00A53F20" w:rsidP="00A53F20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</w:rPr>
      </w:pPr>
      <w:r w:rsidRPr="00A949EB">
        <w:rPr>
          <w:rFonts w:asciiTheme="majorHAnsi" w:hAnsiTheme="majorHAnsi" w:cs="Times New Roman"/>
          <w:sz w:val="24"/>
          <w:szCs w:val="24"/>
        </w:rPr>
        <w:t xml:space="preserve">Having a signed contract and a scheduled closing date means you’re one step closer to securing your purchase!  As you approach your closing date, there are several </w:t>
      </w:r>
      <w:bookmarkStart w:id="0" w:name="_GoBack"/>
      <w:bookmarkEnd w:id="0"/>
      <w:r w:rsidRPr="00A949EB">
        <w:rPr>
          <w:rFonts w:asciiTheme="majorHAnsi" w:hAnsiTheme="majorHAnsi" w:cs="Times New Roman"/>
          <w:sz w:val="24"/>
          <w:szCs w:val="24"/>
        </w:rPr>
        <w:t>items we suggest you consider:</w:t>
      </w:r>
    </w:p>
    <w:p w:rsidR="00A53F20" w:rsidRPr="00A53F20" w:rsidRDefault="00A53F20" w:rsidP="00A53F20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</w:rPr>
      </w:pPr>
    </w:p>
    <w:p w:rsidR="00A53F20" w:rsidRPr="00A53F20" w:rsidRDefault="00A53F20" w:rsidP="00A53F20">
      <w:pPr>
        <w:rPr>
          <w:rFonts w:asciiTheme="majorHAnsi" w:hAnsiTheme="majorHAnsi" w:cs="Times New Roman"/>
          <w:sz w:val="24"/>
          <w:szCs w:val="24"/>
        </w:rPr>
      </w:pPr>
    </w:p>
    <w:p w:rsidR="00A53F20" w:rsidRDefault="00A53F20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3F20">
        <w:rPr>
          <w:rFonts w:asciiTheme="majorHAnsi" w:hAnsiTheme="majorHAnsi" w:cs="Times New Roman"/>
          <w:sz w:val="24"/>
          <w:szCs w:val="24"/>
        </w:rPr>
        <w:t>Transfer utilities at the home you are purchasing into your name. This should be the s</w:t>
      </w:r>
      <w:r w:rsidR="00A949EB">
        <w:rPr>
          <w:rFonts w:asciiTheme="majorHAnsi" w:hAnsiTheme="majorHAnsi" w:cs="Times New Roman"/>
          <w:sz w:val="24"/>
          <w:szCs w:val="24"/>
        </w:rPr>
        <w:t>ame date as the date that the s</w:t>
      </w:r>
      <w:r w:rsidRPr="00A53F20">
        <w:rPr>
          <w:rFonts w:asciiTheme="majorHAnsi" w:hAnsiTheme="majorHAnsi" w:cs="Times New Roman"/>
          <w:sz w:val="24"/>
          <w:szCs w:val="24"/>
        </w:rPr>
        <w:t>ellers have arranged to have the utilities turned off in their name.</w:t>
      </w:r>
    </w:p>
    <w:p w:rsidR="00A53F20" w:rsidRPr="00A53F20" w:rsidRDefault="00A53F20" w:rsidP="00A53F20">
      <w:pPr>
        <w:pStyle w:val="ListParagraph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53F20" w:rsidRDefault="00A53F20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3F20">
        <w:rPr>
          <w:rFonts w:asciiTheme="majorHAnsi" w:hAnsiTheme="majorHAnsi" w:cs="Times New Roman"/>
          <w:sz w:val="24"/>
          <w:szCs w:val="24"/>
        </w:rPr>
        <w:t xml:space="preserve">Arrange for </w:t>
      </w:r>
      <w:r w:rsidR="00A949EB">
        <w:rPr>
          <w:rFonts w:asciiTheme="majorHAnsi" w:hAnsiTheme="majorHAnsi" w:cs="Times New Roman"/>
          <w:sz w:val="24"/>
          <w:szCs w:val="24"/>
        </w:rPr>
        <w:t>all required insurance on the property, if necessary.</w:t>
      </w:r>
    </w:p>
    <w:p w:rsidR="00A53F20" w:rsidRPr="00A53F20" w:rsidRDefault="00A53F20" w:rsidP="00A53F2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53F20" w:rsidRDefault="00A53F20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3F20">
        <w:rPr>
          <w:rFonts w:asciiTheme="majorHAnsi" w:hAnsiTheme="majorHAnsi" w:cs="Times New Roman"/>
          <w:sz w:val="24"/>
          <w:szCs w:val="24"/>
        </w:rPr>
        <w:t>You will need to make a decision as to whether you want to pa</w:t>
      </w:r>
      <w:r>
        <w:rPr>
          <w:rFonts w:asciiTheme="majorHAnsi" w:hAnsiTheme="majorHAnsi" w:cs="Times New Roman"/>
          <w:sz w:val="24"/>
          <w:szCs w:val="24"/>
        </w:rPr>
        <w:t>y for the extra survey coverage.</w:t>
      </w:r>
      <w:r w:rsidR="003049E9">
        <w:rPr>
          <w:rFonts w:asciiTheme="majorHAnsi" w:hAnsiTheme="majorHAnsi" w:cs="Times New Roman"/>
          <w:sz w:val="24"/>
          <w:szCs w:val="24"/>
        </w:rPr>
        <w:t xml:space="preserve">  This is usually a nominal </w:t>
      </w:r>
      <w:r w:rsidR="006C7A19">
        <w:rPr>
          <w:rFonts w:asciiTheme="majorHAnsi" w:hAnsiTheme="majorHAnsi" w:cs="Times New Roman"/>
          <w:sz w:val="24"/>
          <w:szCs w:val="24"/>
        </w:rPr>
        <w:t>fee charged by the title p</w:t>
      </w:r>
      <w:r w:rsidR="003049E9">
        <w:rPr>
          <w:rFonts w:asciiTheme="majorHAnsi" w:hAnsiTheme="majorHAnsi" w:cs="Times New Roman"/>
          <w:sz w:val="24"/>
          <w:szCs w:val="24"/>
        </w:rPr>
        <w:t>olicy provider, which provides additional coverage against items like encroachment and boundary discrepancies.</w:t>
      </w:r>
      <w:r w:rsidR="00D92E1F">
        <w:rPr>
          <w:rFonts w:asciiTheme="majorHAnsi" w:hAnsiTheme="majorHAnsi" w:cs="Times New Roman"/>
          <w:sz w:val="24"/>
          <w:szCs w:val="24"/>
        </w:rPr>
        <w:t xml:space="preserve">  If purchased, the standard exception clause in the policy is amended.</w:t>
      </w:r>
    </w:p>
    <w:p w:rsidR="00A53F20" w:rsidRPr="00A53F20" w:rsidRDefault="00A53F20" w:rsidP="00A53F2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53F20" w:rsidRDefault="00AF685C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Decide if you want to schedule a walkthrough of the property </w:t>
      </w:r>
      <w:r w:rsidR="00A80934">
        <w:rPr>
          <w:rFonts w:asciiTheme="majorHAnsi" w:hAnsiTheme="majorHAnsi" w:cs="Times New Roman"/>
          <w:sz w:val="24"/>
          <w:szCs w:val="24"/>
        </w:rPr>
        <w:t>prior to</w:t>
      </w:r>
      <w:r>
        <w:rPr>
          <w:rFonts w:asciiTheme="majorHAnsi" w:hAnsiTheme="majorHAnsi" w:cs="Times New Roman"/>
          <w:sz w:val="24"/>
          <w:szCs w:val="24"/>
        </w:rPr>
        <w:t xml:space="preserve"> closing.  This can usually be done the same day to provide greater peace of mind as you head to </w:t>
      </w:r>
      <w:r w:rsidR="00356EB3">
        <w:rPr>
          <w:rFonts w:asciiTheme="majorHAnsi" w:hAnsiTheme="majorHAnsi" w:cs="Times New Roman"/>
          <w:sz w:val="24"/>
          <w:szCs w:val="24"/>
        </w:rPr>
        <w:t>closing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A53F20" w:rsidRPr="00A53F20" w:rsidRDefault="00A53F20" w:rsidP="00A53F20">
      <w:pPr>
        <w:pStyle w:val="ListParagraph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53F20" w:rsidRDefault="00A53F20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3F20">
        <w:rPr>
          <w:rFonts w:asciiTheme="majorHAnsi" w:hAnsiTheme="majorHAnsi" w:cs="Times New Roman"/>
          <w:sz w:val="24"/>
          <w:szCs w:val="24"/>
        </w:rPr>
        <w:t>The</w:t>
      </w:r>
      <w:r w:rsidR="00B7323F">
        <w:rPr>
          <w:rFonts w:asciiTheme="majorHAnsi" w:hAnsiTheme="majorHAnsi" w:cs="Times New Roman"/>
          <w:sz w:val="24"/>
          <w:szCs w:val="24"/>
        </w:rPr>
        <w:t xml:space="preserve"> title company will prepare</w:t>
      </w:r>
      <w:r w:rsidRPr="00A53F20">
        <w:rPr>
          <w:rFonts w:asciiTheme="majorHAnsi" w:hAnsiTheme="majorHAnsi" w:cs="Times New Roman"/>
          <w:sz w:val="24"/>
          <w:szCs w:val="24"/>
        </w:rPr>
        <w:t xml:space="preserve"> a settlement statement after it receives the </w:t>
      </w:r>
      <w:r w:rsidR="00B7323F">
        <w:rPr>
          <w:rFonts w:asciiTheme="majorHAnsi" w:hAnsiTheme="majorHAnsi" w:cs="Times New Roman"/>
          <w:sz w:val="24"/>
          <w:szCs w:val="24"/>
        </w:rPr>
        <w:t xml:space="preserve">approved </w:t>
      </w:r>
      <w:r w:rsidRPr="00A53F20">
        <w:rPr>
          <w:rFonts w:asciiTheme="majorHAnsi" w:hAnsiTheme="majorHAnsi" w:cs="Times New Roman"/>
          <w:sz w:val="24"/>
          <w:szCs w:val="24"/>
        </w:rPr>
        <w:t xml:space="preserve">loan package from your lender. The settlement statement will itemize the amounts that you will be charged and will specify </w:t>
      </w:r>
      <w:r w:rsidR="00356EB3">
        <w:rPr>
          <w:rFonts w:asciiTheme="majorHAnsi" w:hAnsiTheme="majorHAnsi" w:cs="Times New Roman"/>
          <w:sz w:val="24"/>
          <w:szCs w:val="24"/>
        </w:rPr>
        <w:t>the exact amount due at</w:t>
      </w:r>
      <w:r w:rsidRPr="00A53F20">
        <w:rPr>
          <w:rFonts w:asciiTheme="majorHAnsi" w:hAnsiTheme="majorHAnsi" w:cs="Times New Roman"/>
          <w:sz w:val="24"/>
          <w:szCs w:val="24"/>
        </w:rPr>
        <w:t xml:space="preserve"> closing. Please</w:t>
      </w:r>
      <w:r w:rsidR="00B7323F">
        <w:rPr>
          <w:rFonts w:asciiTheme="majorHAnsi" w:hAnsiTheme="majorHAnsi" w:cs="Times New Roman"/>
          <w:sz w:val="24"/>
          <w:szCs w:val="24"/>
        </w:rPr>
        <w:t xml:space="preserve"> review it carefully and call your agent, escrow officer</w:t>
      </w:r>
      <w:r w:rsidRPr="00A53F20">
        <w:rPr>
          <w:rFonts w:asciiTheme="majorHAnsi" w:hAnsiTheme="majorHAnsi" w:cs="Times New Roman"/>
          <w:sz w:val="24"/>
          <w:szCs w:val="24"/>
        </w:rPr>
        <w:t xml:space="preserve"> or</w:t>
      </w:r>
      <w:r>
        <w:rPr>
          <w:rFonts w:asciiTheme="majorHAnsi" w:hAnsiTheme="majorHAnsi" w:cs="Times New Roman"/>
          <w:sz w:val="24"/>
          <w:szCs w:val="24"/>
        </w:rPr>
        <w:t xml:space="preserve"> lender with any questions.</w:t>
      </w:r>
    </w:p>
    <w:p w:rsidR="00A53F20" w:rsidRPr="00A53F20" w:rsidRDefault="00A53F20" w:rsidP="00A53F2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53F20" w:rsidRDefault="00AD4704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 title company must receive</w:t>
      </w:r>
      <w:r w:rsidR="00A53F20" w:rsidRPr="00A53F20">
        <w:rPr>
          <w:rFonts w:asciiTheme="majorHAnsi" w:hAnsiTheme="majorHAnsi" w:cs="Times New Roman"/>
          <w:sz w:val="24"/>
          <w:szCs w:val="24"/>
        </w:rPr>
        <w:t xml:space="preserve"> “g</w:t>
      </w:r>
      <w:r>
        <w:rPr>
          <w:rFonts w:asciiTheme="majorHAnsi" w:hAnsiTheme="majorHAnsi" w:cs="Times New Roman"/>
          <w:sz w:val="24"/>
          <w:szCs w:val="24"/>
        </w:rPr>
        <w:t>ood funds”.  Good funds is defined as</w:t>
      </w:r>
      <w:r w:rsidR="00A53F20" w:rsidRPr="00A53F20">
        <w:rPr>
          <w:rFonts w:asciiTheme="majorHAnsi" w:hAnsiTheme="majorHAnsi" w:cs="Times New Roman"/>
          <w:sz w:val="24"/>
          <w:szCs w:val="24"/>
        </w:rPr>
        <w:t xml:space="preserve"> money wired into the title company’s account </w:t>
      </w:r>
      <w:r>
        <w:rPr>
          <w:rFonts w:asciiTheme="majorHAnsi" w:hAnsiTheme="majorHAnsi" w:cs="Times New Roman"/>
          <w:sz w:val="24"/>
          <w:szCs w:val="24"/>
        </w:rPr>
        <w:t xml:space="preserve">on the day of closing, </w:t>
      </w:r>
      <w:r w:rsidR="00A53F20" w:rsidRPr="00A53F20">
        <w:rPr>
          <w:rFonts w:asciiTheme="majorHAnsi" w:hAnsiTheme="majorHAnsi" w:cs="Times New Roman"/>
          <w:sz w:val="24"/>
          <w:szCs w:val="24"/>
        </w:rPr>
        <w:t xml:space="preserve">or a Cashier’s Check payable to the title company.  If you plan to wire funds, please contact the title company and get </w:t>
      </w:r>
      <w:r>
        <w:rPr>
          <w:rFonts w:asciiTheme="majorHAnsi" w:hAnsiTheme="majorHAnsi" w:cs="Times New Roman"/>
          <w:sz w:val="24"/>
          <w:szCs w:val="24"/>
        </w:rPr>
        <w:t xml:space="preserve">their </w:t>
      </w:r>
      <w:r w:rsidR="00A53F20" w:rsidRPr="00A53F20">
        <w:rPr>
          <w:rFonts w:asciiTheme="majorHAnsi" w:hAnsiTheme="majorHAnsi" w:cs="Times New Roman"/>
          <w:sz w:val="24"/>
          <w:szCs w:val="24"/>
        </w:rPr>
        <w:t>wiring instructions.</w:t>
      </w:r>
    </w:p>
    <w:p w:rsidR="00A53F20" w:rsidRPr="00A53F20" w:rsidRDefault="00A53F20" w:rsidP="00A53F20">
      <w:pPr>
        <w:pStyle w:val="ListParagraph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53F20" w:rsidRDefault="00A53F20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3F20">
        <w:rPr>
          <w:rFonts w:asciiTheme="majorHAnsi" w:hAnsiTheme="majorHAnsi" w:cs="Times New Roman"/>
          <w:sz w:val="24"/>
          <w:szCs w:val="24"/>
        </w:rPr>
        <w:t>Bring your social security number and a copy of your driver’s license to closing.</w:t>
      </w:r>
    </w:p>
    <w:p w:rsidR="00A53F20" w:rsidRPr="00A53F20" w:rsidRDefault="00A53F20" w:rsidP="00A53F2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56503" w:rsidRPr="00A53F20" w:rsidRDefault="00A53F20" w:rsidP="00A53F2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3F20">
        <w:rPr>
          <w:rFonts w:asciiTheme="majorHAnsi" w:hAnsiTheme="majorHAnsi" w:cs="Times New Roman"/>
          <w:sz w:val="24"/>
          <w:szCs w:val="24"/>
        </w:rPr>
        <w:t xml:space="preserve">If you cannot attend the closing and need to have papers mailed to you for signature, please let the title </w:t>
      </w:r>
      <w:r w:rsidR="00283C05">
        <w:rPr>
          <w:rFonts w:asciiTheme="majorHAnsi" w:hAnsiTheme="majorHAnsi" w:cs="Times New Roman"/>
          <w:sz w:val="24"/>
          <w:szCs w:val="24"/>
        </w:rPr>
        <w:t>company know in advance</w:t>
      </w:r>
      <w:r w:rsidRPr="00A53F20">
        <w:rPr>
          <w:rFonts w:asciiTheme="majorHAnsi" w:hAnsiTheme="majorHAnsi" w:cs="Times New Roman"/>
          <w:sz w:val="24"/>
          <w:szCs w:val="24"/>
        </w:rPr>
        <w:t>.</w:t>
      </w:r>
      <w:r w:rsidR="00283C05">
        <w:rPr>
          <w:rFonts w:asciiTheme="majorHAnsi" w:hAnsiTheme="majorHAnsi" w:cs="Times New Roman"/>
          <w:sz w:val="24"/>
          <w:szCs w:val="24"/>
        </w:rPr>
        <w:t xml:space="preserve">  This can be handled remotely, but proper notice is required.</w:t>
      </w:r>
    </w:p>
    <w:sectPr w:rsidR="00C56503" w:rsidRPr="00A53F20" w:rsidSect="00732596">
      <w:headerReference w:type="default" r:id="rId5"/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95" w:rsidRDefault="008816BD" w:rsidP="009E5295">
    <w:pPr>
      <w:pStyle w:val="Footer"/>
      <w:jc w:val="center"/>
    </w:pPr>
    <w:hyperlink r:id="rId1" w:history="1">
      <w:r w:rsidRPr="00D169D9">
        <w:rPr>
          <w:rStyle w:val="Hyperlink"/>
        </w:rPr>
        <w:t>info@roserealestate.com</w:t>
      </w:r>
    </w:hyperlink>
    <w:r>
      <w:t xml:space="preserve">     </w:t>
    </w:r>
    <w:r w:rsidRPr="009E5295">
      <w:rPr>
        <w:sz w:val="28"/>
      </w:rPr>
      <w:t>·</w:t>
    </w:r>
    <w:r>
      <w:t xml:space="preserve">      512.894.0835</w:t>
    </w:r>
    <w:r>
      <w:tab/>
      <w:t xml:space="preserve">     </w:t>
    </w:r>
    <w:r w:rsidRPr="009E5295">
      <w:rPr>
        <w:sz w:val="28"/>
      </w:rPr>
      <w:t>·</w:t>
    </w:r>
    <w:r>
      <w:t xml:space="preserve">      </w:t>
    </w:r>
    <w:r>
      <w:t>P.O. Box 325</w:t>
    </w:r>
    <w:r>
      <w:t xml:space="preserve"> Dripping Springs, TX 78620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95" w:rsidRDefault="008816BD" w:rsidP="009E5295">
    <w:pPr>
      <w:spacing w:line="264" w:lineRule="auto"/>
      <w:jc w:val="center"/>
    </w:pPr>
    <w:r>
      <w:rPr>
        <w:noProof/>
      </w:rPr>
      <w:drawing>
        <wp:inline distT="0" distB="0" distL="0" distR="0" wp14:anchorId="26AB3A8E" wp14:editId="11F216F5">
          <wp:extent cx="2004060" cy="607213"/>
          <wp:effectExtent l="19050" t="0" r="0" b="1930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e-RE-Logo_small_Trajanp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718" cy="61256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75F6B" wp14:editId="0BC438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26670" b="26670"/>
              <wp:wrapNone/>
              <wp:docPr id="3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DC3661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:rsidR="009E5295" w:rsidRDefault="008816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3BF6"/>
    <w:multiLevelType w:val="hybridMultilevel"/>
    <w:tmpl w:val="03CAC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1D2C"/>
    <w:multiLevelType w:val="hybridMultilevel"/>
    <w:tmpl w:val="B9126BE4"/>
    <w:lvl w:ilvl="0" w:tplc="B14C67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6F79"/>
    <w:multiLevelType w:val="hybridMultilevel"/>
    <w:tmpl w:val="9DC05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0"/>
    <w:rsid w:val="00283C05"/>
    <w:rsid w:val="003049E9"/>
    <w:rsid w:val="00356EB3"/>
    <w:rsid w:val="004A6B89"/>
    <w:rsid w:val="006C7A19"/>
    <w:rsid w:val="008816BD"/>
    <w:rsid w:val="00A53F20"/>
    <w:rsid w:val="00A80934"/>
    <w:rsid w:val="00A949EB"/>
    <w:rsid w:val="00AD4704"/>
    <w:rsid w:val="00AF685C"/>
    <w:rsid w:val="00B7323F"/>
    <w:rsid w:val="00C56503"/>
    <w:rsid w:val="00D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2A158-797D-4A19-9D8B-0AA2FC49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F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F20"/>
  </w:style>
  <w:style w:type="paragraph" w:styleId="Footer">
    <w:name w:val="footer"/>
    <w:basedOn w:val="Normal"/>
    <w:link w:val="FooterChar"/>
    <w:uiPriority w:val="99"/>
    <w:unhideWhenUsed/>
    <w:rsid w:val="00A5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F20"/>
  </w:style>
  <w:style w:type="paragraph" w:styleId="ListParagraph">
    <w:name w:val="List Paragraph"/>
    <w:basedOn w:val="Normal"/>
    <w:uiPriority w:val="34"/>
    <w:qFormat/>
    <w:rsid w:val="00A5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sereal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Wilson</dc:creator>
  <cp:keywords/>
  <dc:description/>
  <cp:lastModifiedBy>Ted Wilson</cp:lastModifiedBy>
  <cp:revision>12</cp:revision>
  <dcterms:created xsi:type="dcterms:W3CDTF">2014-12-29T00:29:00Z</dcterms:created>
  <dcterms:modified xsi:type="dcterms:W3CDTF">2014-12-29T00:53:00Z</dcterms:modified>
</cp:coreProperties>
</file>